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FAA7FD"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b/>
          <w:bCs/>
          <w:sz w:val="24"/>
          <w:szCs w:val="24"/>
          <w:lang w:eastAsia="nl-NL"/>
        </w:rPr>
        <w:t>Geloof in Nederland – Een atlas van christelijke geloofsgemeenschappen, religieuze binding en missionaire ontmoeting</w:t>
      </w:r>
    </w:p>
    <w:p w14:paraId="490B66E2"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Hoe ziet het religieuze landschap van Nederland eruit? Waar wonen relatief veel katholieken en protestanten? In welke provincies rekenen de meeste inwoners zich niet tot een religie? En wat kunnen christelijke gemeenten met die informatie wanneer zij het evangelie willen delen?</w:t>
      </w:r>
    </w:p>
    <w:p w14:paraId="5576BB00"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 xml:space="preserve">Deze geïllustreerde atlas van </w:t>
      </w:r>
      <w:r w:rsidRPr="00A13EBE">
        <w:rPr>
          <w:rFonts w:ascii="Times New Roman" w:eastAsia="Times New Roman" w:hAnsi="Times New Roman" w:cs="Times New Roman"/>
          <w:b/>
          <w:bCs/>
          <w:sz w:val="24"/>
          <w:szCs w:val="24"/>
          <w:lang w:eastAsia="nl-NL"/>
        </w:rPr>
        <w:t>25 bladen</w:t>
      </w:r>
      <w:r w:rsidRPr="00A13EBE">
        <w:rPr>
          <w:rFonts w:ascii="Times New Roman" w:eastAsia="Times New Roman" w:hAnsi="Times New Roman" w:cs="Times New Roman"/>
          <w:sz w:val="24"/>
          <w:szCs w:val="24"/>
          <w:lang w:eastAsia="nl-NL"/>
        </w:rPr>
        <w:t xml:space="preserve"> brengt die vragen samen. Provinciale kleurenkaarten, overzichtelijke tabellen en regionale beschrijvingen laten zien hoe verschillend Nederland is. De atlas verbindt statistische informatie met een evangelisch-christelijke bezinning op verkondiging, ontmoeting en de plaats van de kerk in de samenleving.</w:t>
      </w:r>
    </w:p>
    <w:p w14:paraId="46F0D31B"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 xml:space="preserve">De belangrijkste regionale gegevens komen van het </w:t>
      </w:r>
      <w:r w:rsidRPr="00A13EBE">
        <w:rPr>
          <w:rFonts w:ascii="Times New Roman" w:eastAsia="Times New Roman" w:hAnsi="Times New Roman" w:cs="Times New Roman"/>
          <w:b/>
          <w:bCs/>
          <w:sz w:val="24"/>
          <w:szCs w:val="24"/>
          <w:lang w:eastAsia="nl-NL"/>
        </w:rPr>
        <w:t>Centraal Bureau voor de Statistiek</w:t>
      </w:r>
      <w:r w:rsidRPr="00A13EBE">
        <w:rPr>
          <w:rFonts w:ascii="Times New Roman" w:eastAsia="Times New Roman" w:hAnsi="Times New Roman" w:cs="Times New Roman"/>
          <w:sz w:val="24"/>
          <w:szCs w:val="24"/>
          <w:lang w:eastAsia="nl-NL"/>
        </w:rPr>
        <w:t xml:space="preserve"> en betreffen de periode </w:t>
      </w:r>
      <w:r w:rsidRPr="00A13EBE">
        <w:rPr>
          <w:rFonts w:ascii="Times New Roman" w:eastAsia="Times New Roman" w:hAnsi="Times New Roman" w:cs="Times New Roman"/>
          <w:b/>
          <w:bCs/>
          <w:sz w:val="24"/>
          <w:szCs w:val="24"/>
          <w:lang w:eastAsia="nl-NL"/>
        </w:rPr>
        <w:t>2021–2025</w:t>
      </w:r>
      <w:r w:rsidRPr="00A13EBE">
        <w:rPr>
          <w:rFonts w:ascii="Times New Roman" w:eastAsia="Times New Roman" w:hAnsi="Times New Roman" w:cs="Times New Roman"/>
          <w:sz w:val="24"/>
          <w:szCs w:val="24"/>
          <w:lang w:eastAsia="nl-NL"/>
        </w:rPr>
        <w:t>. Daarnaast bevat de atlas de landelijke percentages van het afzonderlijke meetjaar 2025. De cijfers gaan over de bevolking van vijftien jaar en ouder, buiten institutionele huishoudens.</w:t>
      </w:r>
    </w:p>
    <w:p w14:paraId="1FDF8010"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b/>
          <w:bCs/>
          <w:sz w:val="24"/>
          <w:szCs w:val="24"/>
          <w:lang w:eastAsia="nl-NL"/>
        </w:rPr>
        <w:t>Een religieus landschap met duidelijke verschillen</w:t>
      </w:r>
    </w:p>
    <w:p w14:paraId="5C40A3B4"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 xml:space="preserve">Afzonderlijke kaartbladen tonen rooms-katholieke en protestantse zelfidentificatie, hun gezamenlijke aandeel en het percentage inwoners zonder religieuze binding. Andere bladen brengen maandelijks bezoek aan een gebedshuis, veranderingen tussen twee </w:t>
      </w:r>
      <w:proofErr w:type="spellStart"/>
      <w:r w:rsidRPr="00A13EBE">
        <w:rPr>
          <w:rFonts w:ascii="Times New Roman" w:eastAsia="Times New Roman" w:hAnsi="Times New Roman" w:cs="Times New Roman"/>
          <w:sz w:val="24"/>
          <w:szCs w:val="24"/>
          <w:lang w:eastAsia="nl-NL"/>
        </w:rPr>
        <w:t>vijfjaarsperioden</w:t>
      </w:r>
      <w:proofErr w:type="spellEnd"/>
      <w:r w:rsidRPr="00A13EBE">
        <w:rPr>
          <w:rFonts w:ascii="Times New Roman" w:eastAsia="Times New Roman" w:hAnsi="Times New Roman" w:cs="Times New Roman"/>
          <w:sz w:val="24"/>
          <w:szCs w:val="24"/>
          <w:lang w:eastAsia="nl-NL"/>
        </w:rPr>
        <w:t xml:space="preserve"> en geschatte aantallen mensen zonder religieuze binding in beeld.</w:t>
      </w:r>
    </w:p>
    <w:p w14:paraId="36D50B94"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Daarbij wordt zichtbaar waarom percentages en aantallen verschillende verhalen vertellen. Een provincie kan een hoog aandeel inwoners zonder religieuze binding hebben, terwijl een dichtbevolkte provincie met een lager percentage toch veel meer mensen in deze categorie telt. Voor een zorgvuldige missionaire afweging zijn beide gezichtspunten relevant.</w:t>
      </w:r>
    </w:p>
    <w:p w14:paraId="262A08C8"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 xml:space="preserve">De atlas kijkt bovendien verder dan provinciegemiddelden. Een regionale kaart en bijbehorende tabel bevatten de cijfers van </w:t>
      </w:r>
      <w:r w:rsidRPr="00A13EBE">
        <w:rPr>
          <w:rFonts w:ascii="Times New Roman" w:eastAsia="Times New Roman" w:hAnsi="Times New Roman" w:cs="Times New Roman"/>
          <w:b/>
          <w:bCs/>
          <w:sz w:val="24"/>
          <w:szCs w:val="24"/>
          <w:lang w:eastAsia="nl-NL"/>
        </w:rPr>
        <w:t>dertig gepubliceerde COROP-regio’s</w:t>
      </w:r>
      <w:r w:rsidRPr="00A13EBE">
        <w:rPr>
          <w:rFonts w:ascii="Times New Roman" w:eastAsia="Times New Roman" w:hAnsi="Times New Roman" w:cs="Times New Roman"/>
          <w:sz w:val="24"/>
          <w:szCs w:val="24"/>
          <w:lang w:eastAsia="nl-NL"/>
        </w:rPr>
        <w:t>. Hierdoor worden verschillen zichtbaar die binnen één provincie gemakkelijk verborgen blijven. Waar CBS geen afzonderlijke regionale cijfers publiceert, blijft dat herkenbaar aangegeven.</w:t>
      </w:r>
    </w:p>
    <w:p w14:paraId="359F963B"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b/>
          <w:bCs/>
          <w:sz w:val="24"/>
          <w:szCs w:val="24"/>
          <w:lang w:eastAsia="nl-NL"/>
        </w:rPr>
        <w:t>Twaalf provincieportretten</w:t>
      </w:r>
    </w:p>
    <w:p w14:paraId="46532A67"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Iedere provincie krijgt een eigen portret met een plaatsbepaling op de kaart, kerncijfers en een korte toelichting. Deze portretten helpen om de landelijke patronen te verbinden met plaatselijke vragen.</w:t>
      </w:r>
    </w:p>
    <w:p w14:paraId="7F8E8A81"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Hoe verhouden kerkelijke identiteit en daadwerkelijke deelname zich tot elkaar? Wat betekent een hoog aandeel inwoners zonder religieuze binding voor bestaande kerken? En welke verschillen binnen een provincie vragen om een eigen benadering? Elk portret eindigt met een verkenningsvraag voor plaatselijke geloofsgemeenschappen.</w:t>
      </w:r>
    </w:p>
    <w:p w14:paraId="1A6475F2"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b/>
          <w:bCs/>
          <w:sz w:val="24"/>
          <w:szCs w:val="24"/>
          <w:lang w:eastAsia="nl-NL"/>
        </w:rPr>
        <w:t>Zorgvuldig omgaan met geloof en cijfers</w:t>
      </w:r>
    </w:p>
    <w:p w14:paraId="1B0D7ACA"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 xml:space="preserve">Een belangrijk uitgangspunt is dat </w:t>
      </w:r>
      <w:r w:rsidRPr="00A13EBE">
        <w:rPr>
          <w:rFonts w:ascii="Times New Roman" w:eastAsia="Times New Roman" w:hAnsi="Times New Roman" w:cs="Times New Roman"/>
          <w:b/>
          <w:bCs/>
          <w:sz w:val="24"/>
          <w:szCs w:val="24"/>
          <w:lang w:eastAsia="nl-NL"/>
        </w:rPr>
        <w:t>geen religieuze binding niet automatisch hetzelfde betekent als atheïsme</w:t>
      </w:r>
      <w:r w:rsidRPr="00A13EBE">
        <w:rPr>
          <w:rFonts w:ascii="Times New Roman" w:eastAsia="Times New Roman" w:hAnsi="Times New Roman" w:cs="Times New Roman"/>
          <w:sz w:val="24"/>
          <w:szCs w:val="24"/>
          <w:lang w:eastAsia="nl-NL"/>
        </w:rPr>
        <w:t xml:space="preserve">. Mensen kunnen zoeken naar zingeving, twijfelen, persoonlijke overtuigingen hebben of zich eenvoudig niet bij een religieuze organisatie indelen. </w:t>
      </w:r>
      <w:r w:rsidRPr="00A13EBE">
        <w:rPr>
          <w:rFonts w:ascii="Times New Roman" w:eastAsia="Times New Roman" w:hAnsi="Times New Roman" w:cs="Times New Roman"/>
          <w:sz w:val="24"/>
          <w:szCs w:val="24"/>
          <w:lang w:eastAsia="nl-NL"/>
        </w:rPr>
        <w:lastRenderedPageBreak/>
        <w:t>Omgekeerd zegt een katholieke of protestantse identiteit niet alles over iemands persoonlijke geloofsleven.</w:t>
      </w:r>
    </w:p>
    <w:p w14:paraId="6F2C61DC"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 xml:space="preserve">De atlas maakt ook duidelijk waarom kerkregistraties en bevolkingsenquêtes verschillende aantallen opleveren. Verder bespreekt hij evangelische, </w:t>
      </w:r>
      <w:proofErr w:type="spellStart"/>
      <w:r w:rsidRPr="00A13EBE">
        <w:rPr>
          <w:rFonts w:ascii="Times New Roman" w:eastAsia="Times New Roman" w:hAnsi="Times New Roman" w:cs="Times New Roman"/>
          <w:sz w:val="24"/>
          <w:szCs w:val="24"/>
          <w:lang w:eastAsia="nl-NL"/>
        </w:rPr>
        <w:t>baptistische</w:t>
      </w:r>
      <w:proofErr w:type="spellEnd"/>
      <w:r w:rsidRPr="00A13EBE">
        <w:rPr>
          <w:rFonts w:ascii="Times New Roman" w:eastAsia="Times New Roman" w:hAnsi="Times New Roman" w:cs="Times New Roman"/>
          <w:sz w:val="24"/>
          <w:szCs w:val="24"/>
          <w:lang w:eastAsia="nl-NL"/>
        </w:rPr>
        <w:t>, pinkster-, orthodoxe en internationale geloofsgemeenschappen. Deze krijgen een plaats in de beschrijving, maar geen afzonderlijke provinciale percentages wanneer de gebruikte bron die uitsplitsing niet biedt. De gemengde categorie ‘ander geloof’ wordt daarom niet voorgesteld als een telling van uitsluitend andere christenen.</w:t>
      </w:r>
    </w:p>
    <w:p w14:paraId="14B323E5"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b/>
          <w:bCs/>
          <w:sz w:val="24"/>
          <w:szCs w:val="24"/>
          <w:lang w:eastAsia="nl-NL"/>
        </w:rPr>
        <w:t>Van kaart naar missionaire ontmoeting</w:t>
      </w:r>
    </w:p>
    <w:p w14:paraId="3774BC1E"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Het afsluitende deel onderzoekt welke gebieden aanleiding geven tot verdere missionaire verkenning. Noord-Holland komt daarbij naar voren door de combinatie van een hoog aandeel en een groot geschat aantal inwoners zonder religieuze binding. Ook Groningen, Drenthe en Zuid-Holland worden vanuit verschillende invalshoeken besproken.</w:t>
      </w:r>
    </w:p>
    <w:p w14:paraId="1461A005"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Die geografische afweging wordt verbonden met de christelijke overtuiging dat het evangelie mensen in alle gebieden aangaat. De kaarten meten geen geestelijke nood, onbekendheid met Jezus of bereidheid tot bekering. Zij helpen kerken om gerichter vragen te stellen, plaatselijke kennis te verzamelen en samenwerking te zoeken.</w:t>
      </w:r>
    </w:p>
    <w:p w14:paraId="0044A07C"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 xml:space="preserve">Bijbelse reflecties op </w:t>
      </w:r>
      <w:proofErr w:type="spellStart"/>
      <w:r w:rsidRPr="00A13EBE">
        <w:rPr>
          <w:rFonts w:ascii="Times New Roman" w:eastAsia="Times New Roman" w:hAnsi="Times New Roman" w:cs="Times New Roman"/>
          <w:sz w:val="24"/>
          <w:szCs w:val="24"/>
          <w:lang w:eastAsia="nl-NL"/>
        </w:rPr>
        <w:t>Matteüs</w:t>
      </w:r>
      <w:proofErr w:type="spellEnd"/>
      <w:r w:rsidRPr="00A13EBE">
        <w:rPr>
          <w:rFonts w:ascii="Times New Roman" w:eastAsia="Times New Roman" w:hAnsi="Times New Roman" w:cs="Times New Roman"/>
          <w:sz w:val="24"/>
          <w:szCs w:val="24"/>
          <w:lang w:eastAsia="nl-NL"/>
        </w:rPr>
        <w:t xml:space="preserve"> 28:18–20 en 1 Petrus 3:15–16 leggen daarbij de nadruk op leerling-zijn, hoop delen, zachtmoedigheid en respect. Gespreksvragen en een praktisch verkenningsplan voor negentig dagen maken de atlas bruikbaar voor kerkenraden, missionaire teams, Bijbelkringen en gemeenteavonden.</w:t>
      </w:r>
    </w:p>
    <w:p w14:paraId="63CD5F28" w14:textId="77777777" w:rsidR="00A13EBE" w:rsidRPr="00A13EBE" w:rsidRDefault="00A13EBE" w:rsidP="00A13EBE">
      <w:pPr>
        <w:spacing w:before="100" w:beforeAutospacing="1" w:after="100" w:afterAutospacing="1" w:line="240" w:lineRule="auto"/>
        <w:rPr>
          <w:rFonts w:ascii="Times New Roman" w:eastAsia="Times New Roman" w:hAnsi="Times New Roman" w:cs="Times New Roman"/>
          <w:sz w:val="24"/>
          <w:szCs w:val="24"/>
          <w:lang w:eastAsia="nl-NL"/>
        </w:rPr>
      </w:pPr>
      <w:r w:rsidRPr="00A13EBE">
        <w:rPr>
          <w:rFonts w:ascii="Times New Roman" w:eastAsia="Times New Roman" w:hAnsi="Times New Roman" w:cs="Times New Roman"/>
          <w:sz w:val="24"/>
          <w:szCs w:val="24"/>
          <w:lang w:eastAsia="nl-NL"/>
        </w:rPr>
        <w:t xml:space="preserve">De uitgave is beschikbaar als </w:t>
      </w:r>
      <w:r w:rsidRPr="00A13EBE">
        <w:rPr>
          <w:rFonts w:ascii="Times New Roman" w:eastAsia="Times New Roman" w:hAnsi="Times New Roman" w:cs="Times New Roman"/>
          <w:b/>
          <w:bCs/>
          <w:sz w:val="24"/>
          <w:szCs w:val="24"/>
          <w:lang w:eastAsia="nl-NL"/>
        </w:rPr>
        <w:t>PDF en EPUB3</w:t>
      </w:r>
      <w:r w:rsidRPr="00A13EBE">
        <w:rPr>
          <w:rFonts w:ascii="Times New Roman" w:eastAsia="Times New Roman" w:hAnsi="Times New Roman" w:cs="Times New Roman"/>
          <w:sz w:val="24"/>
          <w:szCs w:val="24"/>
          <w:lang w:eastAsia="nl-NL"/>
        </w:rPr>
        <w:t>, met kleurenkaarten, bronverwijzingen en een toelichting op de berekeningen en onzekerheden.</w:t>
      </w:r>
    </w:p>
    <w:p w14:paraId="578E5CCF"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18"/>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7DD"/>
    <w:rsid w:val="00407F18"/>
    <w:rsid w:val="00770EC8"/>
    <w:rsid w:val="007E7910"/>
    <w:rsid w:val="008225CE"/>
    <w:rsid w:val="009B7206"/>
    <w:rsid w:val="00A13EBE"/>
    <w:rsid w:val="00BE2344"/>
    <w:rsid w:val="00F517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18C2682"/>
  <w15:chartTrackingRefBased/>
  <w15:docId w15:val="{CC434A5F-0AD2-FE45-8882-4E289BB76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A13EBE"/>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725</Words>
  <Characters>3993</Characters>
  <Application>Microsoft Office Word</Application>
  <DocSecurity>0</DocSecurity>
  <Lines>33</Lines>
  <Paragraphs>9</Paragraphs>
  <ScaleCrop>false</ScaleCrop>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2</cp:revision>
  <dcterms:created xsi:type="dcterms:W3CDTF">2026-10-30T10:33:00Z</dcterms:created>
  <dcterms:modified xsi:type="dcterms:W3CDTF">2026-10-30T10:33:00Z</dcterms:modified>
</cp:coreProperties>
</file>